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40"/>
      </w:pPr>
      <w:r>
        <w:rPr>
          <w:rFonts w:ascii="Arial" w:hAnsi="Arial" w:cs="Arial"/>
          <w:sz w:val="45"/>
          <w:sz-cs w:val="45"/>
          <w:b/>
          <w:spacing w:val="0"/>
        </w:rPr>
        <w:t xml:space="preserve">ROHIT VERMA</w:t>
      </w:r>
    </w:p>
    <w:p>
      <w:pPr/>
      <w:r>
        <w:rPr>
          <w:rFonts w:ascii="Arial" w:hAnsi="Arial" w:cs="Arial"/>
          <w:sz w:val="22"/>
          <w:sz-cs w:val="22"/>
          <w:b/>
          <w:spacing w:val="0"/>
          <w:color w:val="1A1A1A"/>
        </w:rPr>
        <w:t xml:space="preserve">Senior DevOps/SRE Lead • Platform Engineering • Cloud Infrastructure</w:t>
      </w:r>
    </w:p>
    <w:p>
      <w:pPr/>
      <w:r>
        <w:rPr>
          <w:rFonts w:ascii="Arial" w:hAnsi="Arial" w:cs="Arial"/>
          <w:sz w:val="20"/>
          <w:sz-cs w:val="20"/>
          <w:spacing w:val="0"/>
        </w:rPr>
        <w:t xml:space="preserve">Gurugram, India | </w:t>
      </w:r>
      <w:r>
        <w:rPr>
          <w:rFonts w:ascii="Arial" w:hAnsi="Arial" w:cs="Arial"/>
          <w:sz w:val="20"/>
          <w:sz-cs w:val="20"/>
          <w:u w:val="single"/>
          <w:spacing w:val="0"/>
          <w:color w:val="094EC0"/>
        </w:rPr>
        <w:t xml:space="preserve">er_rohitverma@yahoo.in</w:t>
      </w:r>
      <w:r>
        <w:rPr>
          <w:rFonts w:ascii="Arial" w:hAnsi="Arial" w:cs="Arial"/>
          <w:sz w:val="20"/>
          <w:sz-cs w:val="20"/>
          <w:spacing w:val="0"/>
        </w:rPr>
        <w:t xml:space="preserve"> | </w:t>
      </w:r>
      <w:r>
        <w:rPr>
          <w:rFonts w:ascii="Arial" w:hAnsi="Arial" w:cs="Arial"/>
          <w:sz w:val="20"/>
          <w:sz-cs w:val="20"/>
          <w:u w:val="single"/>
          <w:spacing w:val="0"/>
          <w:color w:val="094EC0"/>
        </w:rPr>
        <w:t xml:space="preserve">rohitverma.info</w:t>
      </w:r>
      <w:r>
        <w:rPr>
          <w:rFonts w:ascii="Arial" w:hAnsi="Arial" w:cs="Arial"/>
          <w:sz w:val="20"/>
          <w:sz-cs w:val="20"/>
          <w:spacing w:val="0"/>
        </w:rPr>
        <w:t xml:space="preserve"/>
      </w:r>
    </w:p>
    <w:p>
      <w:pPr/>
      <w:r>
        <w:rPr>
          <w:rFonts w:ascii="Arial" w:hAnsi="Arial" w:cs="Arial"/>
          <w:sz w:val="20"/>
          <w:sz-cs w:val="20"/>
          <w:u w:val="single"/>
          <w:spacing w:val="0"/>
          <w:color w:val="094EC0"/>
        </w:rPr>
        <w:t xml:space="preserve">linkedin.com/in/rohit-verma-38b21796</w:t>
      </w:r>
      <w:r>
        <w:rPr>
          <w:rFonts w:ascii="Arial" w:hAnsi="Arial" w:cs="Arial"/>
          <w:sz w:val="20"/>
          <w:sz-cs w:val="20"/>
          <w:spacing w:val="0"/>
        </w:rPr>
        <w:t xml:space="preserve"> | </w:t>
      </w:r>
      <w:r>
        <w:rPr>
          <w:rFonts w:ascii="Arial" w:hAnsi="Arial" w:cs="Arial"/>
          <w:sz w:val="20"/>
          <w:sz-cs w:val="20"/>
          <w:u w:val="single"/>
          <w:spacing w:val="0"/>
          <w:color w:val="094EC0"/>
        </w:rPr>
        <w:t xml:space="preserve">github.com/crujzo</w:t>
      </w:r>
      <w:r>
        <w:rPr>
          <w:rFonts w:ascii="Arial" w:hAnsi="Arial" w:cs="Arial"/>
          <w:sz w:val="20"/>
          <w:sz-cs w:val="20"/>
          <w:spacing w:val="0"/>
        </w:rPr>
        <w:t xml:space="preserve"/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>
        <w:spacing w:after="80"/>
      </w:pPr>
      <w:r>
        <w:rPr>
          <w:rFonts w:ascii="Arial" w:hAnsi="Arial" w:cs="Arial"/>
          <w:sz w:val="22"/>
          <w:sz-cs w:val="22"/>
          <w:b/>
          <w:spacing w:val="0"/>
        </w:rPr>
        <w:t xml:space="preserve">PROFESSIONAL SUMMARY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Engineering leader with 14+ years architecting cloud platforms at scale—directing zero-downtime migration of 50+ UPI microservices (140M+ TPD, 200+ EKS nodes) achieving 30% latency reduction and 25% cost savings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Expert in Kubernetes/EKS, GitOps (Argo CD/Rollouts), Istio mesh, Terraform/IaC, AWS, and observability (Prometheus/Grafana/Thanos/ELK) for mission-critical FinTech systems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Proven track record mentoring cross-functional teams, defining platform roadmaps, and delivering PCI-DSS/ISO 27001/SOC 2 compliance while reducing MTTR 40% and incident recurrence 60%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>
        <w:spacing w:after="80"/>
      </w:pPr>
      <w:r>
        <w:rPr>
          <w:rFonts w:ascii="Arial" w:hAnsi="Arial" w:cs="Arial"/>
          <w:sz w:val="22"/>
          <w:sz-cs w:val="22"/>
          <w:b/>
          <w:spacing w:val="0"/>
        </w:rPr>
        <w:t xml:space="preserve">CORE SKILLS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Cloud &amp; Platform:</w:t>
      </w:r>
      <w:r>
        <w:rPr>
          <w:rFonts w:ascii="Arial" w:hAnsi="Arial" w:cs="Arial"/>
          <w:sz w:val="21"/>
          <w:sz-cs w:val="21"/>
          <w:spacing w:val="0"/>
        </w:rPr>
        <w:t xml:space="preserve"> AWS (EKS, VPC, IAM/IRSA, S3, Route53, ALB/NLB, DirectConnect, PrivateLink, CloudWatch), Multi-AZ HA architecture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Kubernetes &amp; Service Mesh:</w:t>
      </w:r>
      <w:r>
        <w:rPr>
          <w:rFonts w:ascii="Arial" w:hAnsi="Arial" w:cs="Arial"/>
          <w:sz w:val="21"/>
          <w:sz-cs w:val="21"/>
          <w:spacing w:val="0"/>
        </w:rPr>
        <w:t xml:space="preserve"> EKS, Istio (mTLS, traffic steering), Calico CNI, KEDA, HPA/VPA, progressive delivery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Automation &amp; GitOps:</w:t>
      </w:r>
      <w:r>
        <w:rPr>
          <w:rFonts w:ascii="Arial" w:hAnsi="Arial" w:cs="Arial"/>
          <w:sz w:val="21"/>
          <w:sz-cs w:val="21"/>
          <w:spacing w:val="0"/>
        </w:rPr>
        <w:t xml:space="preserve"> Argo CD, Argo Rollouts (Canary/Blue-Green), Terraform, Helm, Jenkins, GitHub Actions, Ansible, SaltStack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Observability &amp; SRE:</w:t>
      </w:r>
      <w:r>
        <w:rPr>
          <w:rFonts w:ascii="Arial" w:hAnsi="Arial" w:cs="Arial"/>
          <w:sz w:val="21"/>
          <w:sz-cs w:val="21"/>
          <w:spacing w:val="0"/>
        </w:rPr>
        <w:t xml:space="preserve"> Prometheus, Grafana, Thanos, ELK Stack, Alertmanager, OpenTelemetry, SLO/SLA dashboards, DR runbooks, error budgets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Data Systems:</w:t>
      </w:r>
      <w:r>
        <w:rPr>
          <w:rFonts w:ascii="Arial" w:hAnsi="Arial" w:cs="Arial"/>
          <w:sz w:val="21"/>
          <w:sz-cs w:val="21"/>
          <w:spacing w:val="0"/>
        </w:rPr>
        <w:t xml:space="preserve"> Kafka (multi-cluster), Aerospike, Redis, Elasticsearch; real-time stream processing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Security &amp; Compliance:</w:t>
      </w:r>
      <w:r>
        <w:rPr>
          <w:rFonts w:ascii="Arial" w:hAnsi="Arial" w:cs="Arial"/>
          <w:sz w:val="21"/>
          <w:sz-cs w:val="21"/>
          <w:spacing w:val="0"/>
        </w:rPr>
        <w:t xml:space="preserve"> PCI-DSS, ISO 27001, SOC 2, CSPM, TLS/mTLS, CIS benchmarks, least-privilege IAM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Languages &amp; Scripting:</w:t>
      </w:r>
      <w:r>
        <w:rPr>
          <w:rFonts w:ascii="Arial" w:hAnsi="Arial" w:cs="Arial"/>
          <w:sz w:val="21"/>
          <w:sz-cs w:val="21"/>
          <w:spacing w:val="0"/>
        </w:rPr>
        <w:t xml:space="preserve"> Python, Golang (K8s controllers), Bash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>
        <w:spacing w:after="80"/>
      </w:pPr>
      <w:r>
        <w:rPr>
          <w:rFonts w:ascii="Arial" w:hAnsi="Arial" w:cs="Arial"/>
          <w:sz w:val="22"/>
          <w:sz-cs w:val="22"/>
          <w:b/>
          <w:spacing w:val="0"/>
        </w:rPr>
        <w:t xml:space="preserve">PROFESSIONAL EXPERIENCE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DevOps Lead | Paytm (Paytm Payments Bank Ltd) | May 2022 – Present | Noida &amp; Gurugram, India</w:t>
      </w:r>
    </w:p>
    <w:p>
      <w:pPr/>
      <w:r>
        <w:rPr>
          <w:rFonts w:ascii="Arial" w:hAnsi="Arial" w:cs="Arial"/>
          <w:sz w:val="18"/>
          <w:sz-cs w:val="18"/>
          <w:spacing w:val="0"/>
          <w:color w:val="434343"/>
        </w:rPr>
        <w:t xml:space="preserve">High-scale UPI payments platform • Regulated FinTech • Mission-critical infrastructure serving 140M+ transactions per day</w:t>
      </w:r>
    </w:p>
    <w:p>
      <w:pPr>
        <w:ind w:left="720" w:first-line="-720"/>
        <w:spacing w:after="4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Spearheaded end-to-end UPI stack migration from on-prem datacenter to AWS (50+ microservices, 200+ EKS nodes, 140M+ TPD) with zero downtime using VPC multi-AZ design, DirectConnect/PrivateLink for NPCI/banks, phased cutover strategy, and automated rollback mechanisms</w:t>
      </w:r>
    </w:p>
    <w:p>
      <w:pPr>
        <w:ind w:left="720" w:first-line="-720"/>
        <w:spacing w:after="4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Standardized GitOps practices with Argo CD for declarative infrastructure management; implemented progressive delivery via Argo Rollouts (canary/experiments) enabling safe, automated rollbacks and reducing deployment risk across platform</w:t>
      </w:r>
    </w:p>
    <w:p>
      <w:pPr>
        <w:ind w:left="720" w:first-line="-720"/>
        <w:spacing w:after="4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Championed Istio service mesh adoption for mTLS enforcement, dynamic traffic management, and policy-driven security; upgraded Calico CNI; optimized KEDA/HPA autoscaling reducing P95 latencies 30% during traffic bursts</w:t>
      </w:r>
    </w:p>
    <w:p>
      <w:pPr>
        <w:ind w:left="720" w:first-line="-720"/>
        <w:spacing w:after="4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Built comprehensive disaster recovery strategy with quarterly failover drills, SLO/SLA dashboards in Grafana with Prometheus/Thanos metrics, enriched alerting pipelines; automated 90% of infrastructure provisioning using Terraform/Ansible/SaltStack; reduced MTTR 40% and incident recurrence 60%</w:t>
      </w:r>
    </w:p>
    <w:p>
      <w:pPr>
        <w:ind w:left="720" w:first-line="-720"/>
        <w:spacing w:after="4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Partnered cross-functionally with Security, Compliance, and Product teams to achieve PCI-DSS, ISO 27001, SOC 2 certifications; implemented CSPM, audit trails, and least-privilege IAM policies ensuring regulatory adherence; achieved 25% infrastructure cost reduction through FinOps initiatives</w:t>
      </w:r>
    </w:p>
    <w:p>
      <w:pPr>
        <w:ind w:left="720" w:first-line="-720"/>
        <w:spacing w:after="4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Mentored 5-engineer DevOps team; defined platform roadmap aligning engineering velocity with business reliability goals; influenced architecture decisions across 6+ engineering teams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Technical Leader | Capgemini Engineering | June 2020 – March 2022 | Gurugram, India</w:t>
      </w:r>
    </w:p>
    <w:p>
      <w:pPr/>
      <w:r>
        <w:rPr>
          <w:rFonts w:ascii="Arial" w:hAnsi="Arial" w:cs="Arial"/>
          <w:sz w:val="18"/>
          <w:sz-cs w:val="18"/>
          <w:spacing w:val="0"/>
          <w:color w:val="434343"/>
        </w:rPr>
        <w:t xml:space="preserve">Global engineering services • Large-scale automation • Multi-product DevOps transformation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Directed container orchestration modernization from Docker Swarm to Kubernetes reducing deployment time 50% and improving microservices auto-scaling; designed AWS cost-effective solutions (EKS, Lambda, S3, VPC, ALB) achieving 30% infrastructure cost reduction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Engineered scalable Python test automation framework processing 30K+ firmware test cases/day with 95% coverage; integrated automated regression testing into CI/CD pipelines shortening release cycles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Drove adoption of Ansible playbooks for configuration management across 100+ servers; standardized deployments and reduced manual operational toil enabling DevOps team to focus on strategic initiatives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Lead Engineer | EVC Ventures | May 2018 – September 2019 | Gurgaon, India</w:t>
      </w:r>
    </w:p>
    <w:p>
      <w:pPr/>
      <w:r>
        <w:rPr>
          <w:rFonts w:ascii="Arial" w:hAnsi="Arial" w:cs="Arial"/>
          <w:sz w:val="18"/>
          <w:sz-cs w:val="18"/>
          <w:spacing w:val="0"/>
          <w:color w:val="434343"/>
        </w:rPr>
        <w:t xml:space="preserve">Startup environment • Microservices architecture • Full-stack development with DevOps ownership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Designed AWS infrastructure for resilient microservices with HA patterns; built centralized ELK stack processing 100GB+ logs/day enabling real-time troubleshooting and reducing incident detection time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Developed full-stack MERN applications; established CI/CD practices shortening release cycles 40%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Senior Software Engineer | Appster | October 2016 – April 2018 | Gurgaon, India</w:t>
      </w:r>
    </w:p>
    <w:p>
      <w:pPr/>
      <w:r>
        <w:rPr>
          <w:rFonts w:ascii="Arial" w:hAnsi="Arial" w:cs="Arial"/>
          <w:sz w:val="18"/>
          <w:sz-cs w:val="18"/>
          <w:spacing w:val="0"/>
          <w:color w:val="434343"/>
        </w:rPr>
        <w:t xml:space="preserve">Mobile &amp; web application development • Enterprise DevOps strategy • Multi-product portfolio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Developed organization-wide DevOps strategy adopted by 10+ product teams; created CI/CD pipelines (Jenkins, Docker, AWS) improving deployment frequency 3×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Built robust test automation frameworks reducing manual testing 80%; mentored junior engineers on best practices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Senior Engineer | HCL Technologies | March 2015 – October 2016 | Noida, India</w:t>
      </w:r>
    </w:p>
    <w:p>
      <w:pPr/>
      <w:r>
        <w:rPr>
          <w:rFonts w:ascii="Arial" w:hAnsi="Arial" w:cs="Arial"/>
          <w:sz w:val="18"/>
          <w:sz-cs w:val="18"/>
          <w:spacing w:val="0"/>
          <w:color w:val="434343"/>
        </w:rPr>
        <w:t xml:space="preserve">Enterprise IT services • Cloud migration initiatives • Customer-facing technical delivery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Introduced DevOps practices and CI/CD pipelines achieving 95% deployment success; implemented performance monitoring reducing application latency 35%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Served as customer-facing SME for 20+ cloud adoption initiatives; led technical discovery and migration planning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Software Engineer | Tech Mahindra | April 2011 – March 2015 | Noida, India</w:t>
      </w:r>
    </w:p>
    <w:p>
      <w:pPr/>
      <w:r>
        <w:rPr>
          <w:rFonts w:ascii="Arial" w:hAnsi="Arial" w:cs="Arial"/>
          <w:sz w:val="18"/>
          <w:sz-cs w:val="18"/>
          <w:spacing w:val="0"/>
          <w:color w:val="434343"/>
        </w:rPr>
        <w:t xml:space="preserve">Enterprise applications • Test automation • Infrastructure operations and maintenance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Built UI/API test automation frameworks (Selenium, Python) testing 500+ cases/day; introduced Git/SVN version control and CI/CD best practices</w:t>
      </w:r>
    </w:p>
    <w:p>
      <w:pPr>
        <w:ind w:left="720" w:first-line="-720"/>
        <w:spacing w:after="30"/>
      </w:pPr>
      <w:r>
        <w:rPr>
          <w:rFonts w:ascii="Arial" w:hAnsi="Arial" w:cs="Arial"/>
          <w:sz w:val="21"/>
          <w:sz-cs w:val="21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1"/>
          <w:sz-cs w:val="21"/>
          <w:spacing w:val="0"/>
        </w:rPr>
        <w:t xml:space="preserve">Maintained VMware ESXi infrastructure ensuring 99.9% uptime; improved collaboration and code quality across team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>
        <w:spacing w:after="80"/>
      </w:pPr>
      <w:r>
        <w:rPr>
          <w:rFonts w:ascii="Arial" w:hAnsi="Arial" w:cs="Arial"/>
          <w:sz w:val="22"/>
          <w:sz-cs w:val="22"/>
          <w:b/>
          <w:spacing w:val="0"/>
        </w:rPr>
        <w:t xml:space="preserve">PROJECTS &amp; SIDE INITIATIVES</w:t>
      </w:r>
    </w:p>
    <w:p>
      <w:pPr/>
      <w:r>
        <w:rPr>
          <w:rFonts w:ascii="Arial" w:hAnsi="Arial" w:cs="Arial"/>
          <w:sz w:val="21"/>
          <w:sz-cs w:val="21"/>
          <w:b/>
          <w:u w:val="single"/>
          <w:spacing w:val="0"/>
          <w:color w:val="094EC0"/>
        </w:rPr>
        <w:t xml:space="preserve">bitresearch.ai</w:t>
      </w:r>
      <w:r>
        <w:rPr>
          <w:rFonts w:ascii="Arial" w:hAnsi="Arial" w:cs="Arial"/>
          <w:sz w:val="21"/>
          <w:sz-cs w:val="21"/>
          <w:spacing w:val="0"/>
        </w:rPr>
        <w:t xml:space="preserve"> — AI-powered cryptocurrency news aggregation platform (Python, Docker, CI/CD)</w:t>
      </w:r>
    </w:p>
    <w:p>
      <w:pPr/>
      <w:r>
        <w:rPr>
          <w:rFonts w:ascii="Arial" w:hAnsi="Arial" w:cs="Arial"/>
          <w:sz w:val="21"/>
          <w:sz-cs w:val="21"/>
          <w:b/>
          <w:u w:val="single"/>
          <w:spacing w:val="0"/>
          <w:color w:val="094EC0"/>
        </w:rPr>
        <w:t xml:space="preserve">devxops.tech</w:t>
      </w:r>
      <w:r>
        <w:rPr>
          <w:rFonts w:ascii="Arial" w:hAnsi="Arial" w:cs="Arial"/>
          <w:sz w:val="21"/>
          <w:sz-cs w:val="21"/>
          <w:spacing w:val="0"/>
        </w:rPr>
        <w:t xml:space="preserve"> — Real-time DevOps news portal (Next.js, CI/CD automation)</w:t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>
        <w:spacing w:after="80"/>
      </w:pPr>
      <w:r>
        <w:rPr>
          <w:rFonts w:ascii="Arial" w:hAnsi="Arial" w:cs="Arial"/>
          <w:sz w:val="22"/>
          <w:sz-cs w:val="22"/>
          <w:b/>
          <w:spacing w:val="0"/>
        </w:rPr>
        <w:t xml:space="preserve">CERTIFICATIONS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Certified Kubernetes Administrator (CKA)</w:t>
      </w:r>
      <w:r>
        <w:rPr>
          <w:rFonts w:ascii="Arial" w:hAnsi="Arial" w:cs="Arial"/>
          <w:sz w:val="21"/>
          <w:sz-cs w:val="21"/>
          <w:spacing w:val="0"/>
        </w:rPr>
        <w:t xml:space="preserve"> | </w:t>
      </w:r>
      <w:r>
        <w:rPr>
          <w:rFonts w:ascii="Arial" w:hAnsi="Arial" w:cs="Arial"/>
          <w:sz w:val="21"/>
          <w:sz-cs w:val="21"/>
          <w:b/>
          <w:spacing w:val="0"/>
        </w:rPr>
        <w:t xml:space="preserve">AWS Certified Solutions Architect – Associate</w:t>
      </w:r>
      <w:r>
        <w:rPr>
          <w:rFonts w:ascii="Arial" w:hAnsi="Arial" w:cs="Arial"/>
          <w:sz w:val="21"/>
          <w:sz-cs w:val="21"/>
          <w:spacing w:val="0"/>
        </w:rPr>
        <w:t xml:space="preserve"> | </w:t>
      </w:r>
      <w:r>
        <w:rPr>
          <w:rFonts w:ascii="Arial" w:hAnsi="Arial" w:cs="Arial"/>
          <w:sz w:val="21"/>
          <w:sz-cs w:val="21"/>
          <w:b/>
          <w:spacing w:val="0"/>
        </w:rPr>
        <w:t xml:space="preserve">HashiCorp Certified: Terraform Associate</w:t>
      </w:r>
      <w:r>
        <w:rPr>
          <w:rFonts w:ascii="Arial" w:hAnsi="Arial" w:cs="Arial"/>
          <w:sz w:val="21"/>
          <w:sz-cs w:val="21"/>
          <w:spacing w:val="0"/>
        </w:rPr>
        <w:t xml:space="preserve"> | </w:t>
      </w:r>
      <w:r>
        <w:rPr>
          <w:rFonts w:ascii="Arial" w:hAnsi="Arial" w:cs="Arial"/>
          <w:sz w:val="21"/>
          <w:sz-cs w:val="21"/>
          <w:b/>
          <w:spacing w:val="0"/>
        </w:rPr>
        <w:t xml:space="preserve">Docker Certified Associate (DCA)</w:t>
      </w:r>
      <w:r>
        <w:rPr>
          <w:rFonts w:ascii="Arial" w:hAnsi="Arial" w:cs="Arial"/>
          <w:sz w:val="21"/>
          <w:sz-cs w:val="21"/>
          <w:spacing w:val="0"/>
        </w:rPr>
        <w:t xml:space="preserve"/>
      </w:r>
    </w:p>
    <w:p>
      <w:pPr/>
      <w:r>
        <w:rPr>
          <w:rFonts w:ascii="Arial" w:hAnsi="Arial" w:cs="Arial"/>
          <w:sz w:val="21"/>
          <w:sz-cs w:val="21"/>
          <w:spacing w:val="0"/>
          <w:color w:val="6D6D6D"/>
        </w:rPr>
        <w:t xml:space="preserve"/>
      </w:r>
    </w:p>
    <w:p>
      <w:pPr>
        <w:spacing w:after="80"/>
      </w:pPr>
      <w:r>
        <w:rPr>
          <w:rFonts w:ascii="Arial" w:hAnsi="Arial" w:cs="Arial"/>
          <w:sz w:val="22"/>
          <w:sz-cs w:val="22"/>
          <w:b/>
          <w:spacing w:val="0"/>
        </w:rPr>
        <w:t xml:space="preserve">EDUCATION</w:t>
      </w:r>
    </w:p>
    <w:p>
      <w:pPr/>
      <w:r>
        <w:rPr>
          <w:rFonts w:ascii="Arial" w:hAnsi="Arial" w:cs="Arial"/>
          <w:sz w:val="21"/>
          <w:sz-cs w:val="21"/>
          <w:b/>
          <w:spacing w:val="0"/>
        </w:rPr>
        <w:t xml:space="preserve">B.Tech (ECE)</w:t>
      </w:r>
      <w:r>
        <w:rPr>
          <w:rFonts w:ascii="Arial" w:hAnsi="Arial" w:cs="Arial"/>
          <w:sz w:val="21"/>
          <w:sz-cs w:val="21"/>
          <w:spacing w:val="0"/>
        </w:rPr>
        <w:t xml:space="preserve"> — Dr. A.P.J. Abdul Kalam Technical University | First Division | 2006–2010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